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widowControl/>
        <w:shd w:val="clear" w:color="auto" w:fill="FFFFFF"/>
        <w:spacing w:beforeAutospacing="0" w:after="210" w:afterAutospacing="0"/>
        <w:jc w:val="center"/>
        <w:rPr>
          <w:rFonts w:hint="eastAsia" w:ascii="方正小标宋_GBK" w:hAnsi="方正小标宋_GBK" w:eastAsia="方正小标宋_GBK" w:cs="方正小标宋_GBK"/>
          <w:kern w:val="2"/>
          <w:sz w:val="44"/>
          <w:szCs w:val="44"/>
          <w:lang w:val="en-US" w:eastAsia="zh-CN" w:bidi="ar-SA"/>
        </w:rPr>
      </w:pPr>
      <w:r>
        <w:rPr>
          <w:rFonts w:hint="eastAsia" w:ascii="方正小标宋_GBK" w:hAnsi="方正小标宋_GBK" w:eastAsia="方正小标宋_GBK" w:cs="方正小标宋_GBK"/>
          <w:kern w:val="2"/>
          <w:sz w:val="44"/>
          <w:szCs w:val="44"/>
          <w:lang w:val="en-US" w:eastAsia="zh-CN" w:bidi="ar-SA"/>
        </w:rPr>
        <w:t>编制说明</w:t>
      </w:r>
    </w:p>
    <w:p>
      <w:pPr>
        <w:spacing w:line="580" w:lineRule="exact"/>
        <w:rPr>
          <w:rFonts w:hint="eastAsia" w:ascii="黑体" w:hAnsi="黑体" w:eastAsia="黑体" w:cs="黑体"/>
          <w:sz w:val="32"/>
          <w:szCs w:val="32"/>
        </w:rPr>
      </w:pPr>
      <w:r>
        <w:rPr>
          <w:rFonts w:hint="eastAsia" w:ascii="黑体" w:hAnsi="黑体" w:eastAsia="黑体" w:cs="黑体"/>
          <w:sz w:val="32"/>
          <w:szCs w:val="32"/>
        </w:rPr>
        <w:t>一、目的意义</w:t>
      </w:r>
    </w:p>
    <w:p>
      <w:pPr>
        <w:pStyle w:val="6"/>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80" w:lineRule="exact"/>
        <w:ind w:left="0" w:firstLine="480" w:firstLineChars="200"/>
        <w:textAlignment w:val="auto"/>
        <w:rPr>
          <w:rFonts w:hint="eastAsia" w:ascii="宋体" w:hAnsi="宋体" w:eastAsia="宋体" w:cs="宋体"/>
          <w:color w:val="000000"/>
          <w:szCs w:val="24"/>
        </w:rPr>
      </w:pPr>
      <w:r>
        <w:rPr>
          <w:rFonts w:hint="eastAsia" w:ascii="宋体" w:hAnsi="宋体" w:eastAsia="宋体" w:cs="宋体"/>
          <w:color w:val="000000"/>
          <w:szCs w:val="24"/>
        </w:rPr>
        <w:t>突发公共卫生事件作为突然发生，且可能造成社会公众健康严重受损的重大事件，近年来全国范围内时有发生，严重影响了公众安全和社会稳定。在此背景下，医院管理也遇到了严峻的考验，包括门诊入口管理、门诊预检分诊管理、病房管理等等。面对重大突发公共卫生事件，门诊的规范化管理就显得非常必要，在做好突发公共卫生事件管理的同时，还要做好门诊日常医疗服务管理，增强门诊工作流程的连贯性和有效性，优化门诊就诊流程，并且通过信息化手段，开展错峰就诊、提前线上预约挂号等举措，减少患者聚集，避免交叉感染，同时也要为疑难病患者的健康进行兜底，减少患者往返医院的次数，提高医疗质量。</w:t>
      </w:r>
    </w:p>
    <w:p>
      <w:pPr>
        <w:pStyle w:val="6"/>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80" w:lineRule="exact"/>
        <w:ind w:left="0" w:firstLine="480" w:firstLineChars="200"/>
        <w:textAlignment w:val="auto"/>
        <w:rPr>
          <w:rFonts w:hint="eastAsia" w:ascii="宋体" w:hAnsi="宋体" w:eastAsia="宋体" w:cs="宋体"/>
          <w:color w:val="000000"/>
          <w:szCs w:val="24"/>
        </w:rPr>
      </w:pPr>
      <w:r>
        <w:rPr>
          <w:rFonts w:hint="eastAsia" w:ascii="宋体" w:hAnsi="宋体" w:eastAsia="宋体" w:cs="宋体"/>
          <w:color w:val="000000"/>
          <w:szCs w:val="24"/>
        </w:rPr>
        <w:t>国内门诊大多存在“三长一短”的问题，受到老百姓的诟病。而我国三级医院由于其门诊体量巨大，要求也更高，所以更需要统一规范的管理来提高患者的就医满意度。在全国持续改善医疗服务行动计划中，门诊服务改善的分值占很大比重，近几年来，全国门诊服务质量也都有所提高，但是没有规范标准可借鉴。</w:t>
      </w:r>
    </w:p>
    <w:p>
      <w:pPr>
        <w:pStyle w:val="6"/>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80" w:lineRule="exact"/>
        <w:ind w:left="0" w:firstLine="480" w:firstLineChars="200"/>
        <w:textAlignment w:val="auto"/>
        <w:rPr>
          <w:rFonts w:hint="eastAsia" w:ascii="宋体" w:hAnsi="宋体" w:eastAsia="宋体" w:cs="宋体"/>
          <w:color w:val="000000"/>
          <w:szCs w:val="24"/>
        </w:rPr>
      </w:pPr>
      <w:r>
        <w:rPr>
          <w:rFonts w:hint="eastAsia" w:ascii="宋体" w:hAnsi="宋体" w:eastAsia="宋体" w:cs="宋体"/>
          <w:color w:val="000000"/>
          <w:szCs w:val="24"/>
        </w:rPr>
        <w:t>《三级医院门诊服务规范》将上述一系列工作标准化、规范化，明确了三级医院门诊管理服务的标准及要求，实现门诊流程全面化管理，同时也可以推广至江苏省内其他医院，为其他医院提供可循依据，提高江苏省整体医疗服务质量和门诊患者满意度，为打造“强富美高”的新江苏做贡献。</w:t>
      </w:r>
    </w:p>
    <w:p>
      <w:pPr>
        <w:spacing w:line="58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二、任务来源</w:t>
      </w:r>
    </w:p>
    <w:p>
      <w:pPr>
        <w:pStyle w:val="6"/>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80" w:lineRule="exact"/>
        <w:ind w:left="0" w:firstLine="480" w:firstLineChars="200"/>
        <w:textAlignment w:val="auto"/>
        <w:rPr>
          <w:rFonts w:hint="eastAsia" w:ascii="宋体" w:hAnsi="宋体" w:eastAsia="宋体" w:cs="宋体"/>
          <w:color w:val="000000"/>
          <w:szCs w:val="24"/>
        </w:rPr>
      </w:pPr>
      <w:r>
        <w:rPr>
          <w:rFonts w:hint="eastAsia" w:ascii="宋体" w:hAnsi="宋体" w:eastAsia="宋体" w:cs="宋体"/>
          <w:color w:val="000000"/>
          <w:szCs w:val="24"/>
        </w:rPr>
        <w:t>2021年4月1日，江苏省市场监督管理局发布《关于下达2021年度第一批江苏省地方标准项目计划的通知》（苏市监标〔2021〕68号）批准了江苏省地方标准《三级公立医院门诊管理服务规范》的立项。</w:t>
      </w:r>
    </w:p>
    <w:p>
      <w:pPr>
        <w:spacing w:line="580" w:lineRule="exact"/>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三、编制过程</w:t>
      </w:r>
    </w:p>
    <w:p>
      <w:pPr>
        <w:pStyle w:val="6"/>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80" w:lineRule="exact"/>
        <w:ind w:left="0" w:firstLine="480" w:firstLineChars="200"/>
        <w:textAlignment w:val="auto"/>
        <w:rPr>
          <w:rFonts w:hint="eastAsia" w:ascii="宋体" w:hAnsi="宋体" w:eastAsia="宋体" w:cs="宋体"/>
          <w:color w:val="000000"/>
          <w:szCs w:val="24"/>
          <w:lang w:eastAsia="zh-CN"/>
        </w:rPr>
      </w:pPr>
      <w:r>
        <w:rPr>
          <w:rFonts w:hint="eastAsia" w:ascii="宋体" w:hAnsi="宋体" w:eastAsia="宋体" w:cs="宋体"/>
          <w:color w:val="000000"/>
          <w:szCs w:val="24"/>
        </w:rPr>
        <w:t>起草工作阶段：根据任务要求，江苏省人民医院、南京医科大学附属苏州医院、江苏亚寰软件股份有限公司</w:t>
      </w:r>
      <w:r>
        <w:rPr>
          <w:rFonts w:hint="eastAsia" w:ascii="宋体" w:hAnsi="宋体" w:eastAsia="宋体" w:cs="宋体"/>
          <w:color w:val="000000"/>
          <w:szCs w:val="24"/>
          <w:lang w:val="en-US" w:eastAsia="zh-CN"/>
        </w:rPr>
        <w:t>等相关单位，</w:t>
      </w:r>
      <w:r>
        <w:rPr>
          <w:rFonts w:hint="eastAsia" w:ascii="宋体" w:hAnsi="宋体" w:eastAsia="宋体" w:cs="宋体"/>
          <w:color w:val="000000"/>
          <w:szCs w:val="24"/>
        </w:rPr>
        <w:t>于202</w:t>
      </w:r>
      <w:r>
        <w:rPr>
          <w:rFonts w:hint="eastAsia" w:ascii="宋体" w:hAnsi="宋体" w:eastAsia="宋体" w:cs="宋体"/>
          <w:color w:val="000000"/>
          <w:szCs w:val="24"/>
          <w:lang w:val="en-US" w:eastAsia="zh-CN"/>
        </w:rPr>
        <w:t>1</w:t>
      </w:r>
      <w:r>
        <w:rPr>
          <w:rFonts w:hint="eastAsia" w:ascii="宋体" w:hAnsi="宋体" w:eastAsia="宋体" w:cs="宋体"/>
          <w:color w:val="000000"/>
          <w:szCs w:val="24"/>
        </w:rPr>
        <w:t>年7月成立江苏省省级地方标准领导小组和工作小组</w:t>
      </w:r>
      <w:r>
        <w:rPr>
          <w:rFonts w:hint="eastAsia" w:ascii="宋体" w:hAnsi="宋体" w:eastAsia="宋体" w:cs="宋体"/>
          <w:color w:val="000000"/>
          <w:szCs w:val="24"/>
          <w:lang w:eastAsia="zh-CN"/>
        </w:rPr>
        <w:t>，</w:t>
      </w:r>
      <w:r>
        <w:rPr>
          <w:rFonts w:hint="eastAsia" w:ascii="宋体" w:hAnsi="宋体" w:eastAsia="宋体" w:cs="宋体"/>
          <w:color w:val="000000"/>
          <w:szCs w:val="24"/>
        </w:rPr>
        <w:t>对标准的技术内容进行必要的分析，并广泛征求利益相关方意见，</w:t>
      </w:r>
      <w:r>
        <w:rPr>
          <w:rFonts w:hint="eastAsia" w:ascii="宋体" w:hAnsi="宋体" w:eastAsia="宋体" w:cs="宋体"/>
          <w:color w:val="000000"/>
          <w:szCs w:val="24"/>
          <w:lang w:val="en-US" w:eastAsia="zh-CN"/>
        </w:rPr>
        <w:t>共同制定了</w:t>
      </w:r>
      <w:r>
        <w:rPr>
          <w:rFonts w:hint="eastAsia" w:ascii="宋体" w:hAnsi="宋体" w:eastAsia="宋体" w:cs="宋体"/>
          <w:color w:val="000000"/>
          <w:szCs w:val="24"/>
        </w:rPr>
        <w:t>标准编制工作计划和实施方案，明确了任务分工和各阶段进度时间，</w:t>
      </w:r>
      <w:r>
        <w:rPr>
          <w:rFonts w:hint="eastAsia" w:ascii="宋体" w:hAnsi="宋体" w:eastAsia="宋体" w:cs="宋体"/>
          <w:color w:val="000000"/>
          <w:szCs w:val="24"/>
          <w:lang w:val="en-US" w:eastAsia="zh-CN"/>
        </w:rPr>
        <w:t>落实了人员</w:t>
      </w:r>
      <w:r>
        <w:rPr>
          <w:rFonts w:hint="eastAsia" w:ascii="宋体" w:hAnsi="宋体" w:eastAsia="宋体" w:cs="宋体"/>
          <w:color w:val="000000"/>
          <w:szCs w:val="24"/>
        </w:rPr>
        <w:t>职责。</w:t>
      </w:r>
    </w:p>
    <w:p>
      <w:pPr>
        <w:pStyle w:val="6"/>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80" w:lineRule="exact"/>
        <w:ind w:left="0" w:firstLine="480" w:firstLineChars="200"/>
        <w:textAlignment w:val="auto"/>
        <w:rPr>
          <w:rFonts w:hint="eastAsia" w:ascii="宋体" w:hAnsi="宋体" w:eastAsia="宋体" w:cs="宋体"/>
          <w:color w:val="000000"/>
          <w:szCs w:val="24"/>
          <w:lang w:eastAsia="zh-CN"/>
        </w:rPr>
      </w:pPr>
      <w:r>
        <w:rPr>
          <w:rFonts w:hint="eastAsia" w:ascii="宋体" w:hAnsi="宋体" w:eastAsia="宋体" w:cs="宋体"/>
          <w:color w:val="000000"/>
          <w:szCs w:val="24"/>
          <w:lang w:val="en-US" w:eastAsia="zh-CN"/>
        </w:rPr>
        <w:t>完善草案</w:t>
      </w:r>
      <w:r>
        <w:rPr>
          <w:rFonts w:hint="eastAsia" w:ascii="宋体" w:hAnsi="宋体" w:eastAsia="宋体" w:cs="宋体"/>
          <w:color w:val="000000"/>
          <w:szCs w:val="24"/>
        </w:rPr>
        <w:t>阶段：在前期申报的标准初稿基础上，按照 GB/T1.1—2020 的要求进一步完善标准文本及编制说明。工作小组从</w:t>
      </w:r>
      <w:r>
        <w:rPr>
          <w:rFonts w:hint="eastAsia" w:ascii="宋体" w:hAnsi="宋体" w:eastAsia="宋体" w:cs="宋体"/>
          <w:color w:val="000000"/>
          <w:szCs w:val="24"/>
          <w:lang w:val="en-US" w:eastAsia="zh-CN"/>
        </w:rPr>
        <w:t>三级医院门诊患者</w:t>
      </w:r>
      <w:r>
        <w:rPr>
          <w:rFonts w:hint="eastAsia" w:ascii="宋体" w:hAnsi="宋体" w:eastAsia="宋体" w:cs="宋体"/>
          <w:color w:val="000000"/>
          <w:szCs w:val="24"/>
        </w:rPr>
        <w:t>、</w:t>
      </w:r>
      <w:r>
        <w:rPr>
          <w:rFonts w:hint="eastAsia" w:ascii="宋体" w:hAnsi="宋体" w:eastAsia="宋体" w:cs="宋体"/>
          <w:color w:val="000000"/>
          <w:szCs w:val="24"/>
          <w:lang w:val="en-US" w:eastAsia="zh-CN"/>
        </w:rPr>
        <w:t>医生、管理者</w:t>
      </w:r>
      <w:r>
        <w:rPr>
          <w:rFonts w:hint="eastAsia" w:ascii="宋体" w:hAnsi="宋体" w:eastAsia="宋体" w:cs="宋体"/>
          <w:color w:val="000000"/>
          <w:szCs w:val="24"/>
        </w:rPr>
        <w:t>的角度多方考虑，结合多方意见和现有的实践经验，经过调研、数据收集</w:t>
      </w:r>
      <w:r>
        <w:rPr>
          <w:rFonts w:hint="eastAsia" w:ascii="宋体" w:hAnsi="宋体" w:eastAsia="宋体" w:cs="宋体"/>
          <w:color w:val="000000"/>
          <w:szCs w:val="24"/>
          <w:lang w:eastAsia="zh-CN"/>
        </w:rPr>
        <w:t>、</w:t>
      </w:r>
      <w:r>
        <w:rPr>
          <w:rFonts w:hint="eastAsia" w:ascii="宋体" w:hAnsi="宋体" w:eastAsia="宋体" w:cs="宋体"/>
          <w:color w:val="000000"/>
          <w:szCs w:val="24"/>
        </w:rPr>
        <w:t>数据分析、资料总结等，于202</w:t>
      </w:r>
      <w:r>
        <w:rPr>
          <w:rFonts w:hint="eastAsia" w:ascii="宋体" w:hAnsi="宋体" w:eastAsia="宋体" w:cs="宋体"/>
          <w:color w:val="000000"/>
          <w:szCs w:val="24"/>
          <w:lang w:val="en-US" w:eastAsia="zh-CN"/>
        </w:rPr>
        <w:t>2</w:t>
      </w:r>
      <w:r>
        <w:rPr>
          <w:rFonts w:hint="eastAsia" w:ascii="宋体" w:hAnsi="宋体" w:eastAsia="宋体" w:cs="宋体"/>
          <w:color w:val="000000"/>
          <w:szCs w:val="24"/>
        </w:rPr>
        <w:t>年</w:t>
      </w:r>
      <w:r>
        <w:rPr>
          <w:rFonts w:hint="eastAsia" w:ascii="宋体" w:hAnsi="宋体" w:eastAsia="宋体" w:cs="宋体"/>
          <w:color w:val="000000"/>
          <w:szCs w:val="24"/>
          <w:lang w:val="en-US" w:eastAsia="zh-CN"/>
        </w:rPr>
        <w:t>2</w:t>
      </w:r>
      <w:r>
        <w:rPr>
          <w:rFonts w:hint="eastAsia" w:ascii="宋体" w:hAnsi="宋体" w:eastAsia="宋体" w:cs="宋体"/>
          <w:color w:val="000000"/>
          <w:szCs w:val="24"/>
        </w:rPr>
        <w:t>月完成了标准的初稿。在与</w:t>
      </w:r>
      <w:r>
        <w:rPr>
          <w:rFonts w:hint="eastAsia" w:ascii="宋体" w:hAnsi="宋体" w:eastAsia="宋体" w:cs="宋体"/>
          <w:color w:val="000000"/>
          <w:szCs w:val="24"/>
          <w:lang w:val="en-US" w:eastAsia="zh-CN"/>
        </w:rPr>
        <w:t>南京市</w:t>
      </w:r>
      <w:r>
        <w:rPr>
          <w:rFonts w:hint="eastAsia" w:ascii="宋体" w:hAnsi="宋体" w:eastAsia="宋体" w:cs="宋体"/>
          <w:color w:val="000000"/>
          <w:szCs w:val="24"/>
        </w:rPr>
        <w:t>质量和标准化院专家的研讨过程中，重新调整了</w:t>
      </w:r>
      <w:r>
        <w:rPr>
          <w:rFonts w:hint="eastAsia" w:ascii="宋体" w:hAnsi="宋体" w:eastAsia="宋体" w:cs="宋体"/>
          <w:color w:val="000000"/>
          <w:szCs w:val="24"/>
          <w:lang w:val="en-US" w:eastAsia="zh-CN"/>
        </w:rPr>
        <w:t>标准名称、梳理</w:t>
      </w:r>
      <w:r>
        <w:rPr>
          <w:rFonts w:hint="eastAsia" w:ascii="宋体" w:hAnsi="宋体" w:eastAsia="宋体" w:cs="宋体"/>
          <w:color w:val="000000"/>
          <w:szCs w:val="24"/>
        </w:rPr>
        <w:t>部分章节的框架内容</w:t>
      </w:r>
      <w:r>
        <w:rPr>
          <w:rFonts w:hint="eastAsia" w:ascii="宋体" w:hAnsi="宋体" w:eastAsia="宋体" w:cs="宋体"/>
          <w:color w:val="000000"/>
          <w:szCs w:val="24"/>
          <w:lang w:val="en-US" w:eastAsia="zh-CN"/>
        </w:rPr>
        <w:t>首先</w:t>
      </w:r>
      <w:r>
        <w:rPr>
          <w:rFonts w:hint="eastAsia" w:ascii="宋体" w:hAnsi="宋体" w:eastAsia="宋体" w:cs="宋体"/>
          <w:color w:val="000000"/>
          <w:szCs w:val="24"/>
        </w:rPr>
        <w:t>细化</w:t>
      </w:r>
      <w:r>
        <w:rPr>
          <w:rFonts w:hint="eastAsia" w:ascii="宋体" w:hAnsi="宋体" w:eastAsia="宋体" w:cs="宋体"/>
          <w:color w:val="000000"/>
          <w:szCs w:val="24"/>
          <w:lang w:eastAsia="zh-CN"/>
        </w:rPr>
        <w:t>了</w:t>
      </w:r>
      <w:r>
        <w:rPr>
          <w:rFonts w:hint="eastAsia" w:ascii="宋体" w:hAnsi="宋体" w:eastAsia="宋体" w:cs="宋体"/>
          <w:color w:val="000000"/>
          <w:szCs w:val="24"/>
          <w:lang w:val="en-US" w:eastAsia="zh-CN"/>
        </w:rPr>
        <w:t>三级医院门诊服务人员</w:t>
      </w:r>
      <w:r>
        <w:rPr>
          <w:rFonts w:hint="eastAsia" w:ascii="宋体" w:hAnsi="宋体" w:eastAsia="宋体" w:cs="宋体"/>
          <w:color w:val="000000"/>
          <w:szCs w:val="24"/>
        </w:rPr>
        <w:t>基本要求，使之更加全面、逻辑更加清楚</w:t>
      </w:r>
      <w:r>
        <w:rPr>
          <w:rFonts w:hint="eastAsia" w:ascii="宋体" w:hAnsi="宋体" w:eastAsia="宋体" w:cs="宋体"/>
          <w:color w:val="000000"/>
          <w:szCs w:val="24"/>
          <w:lang w:eastAsia="zh-CN"/>
        </w:rPr>
        <w:t>；</w:t>
      </w:r>
      <w:r>
        <w:rPr>
          <w:rFonts w:hint="eastAsia" w:ascii="宋体" w:hAnsi="宋体" w:eastAsia="宋体" w:cs="宋体"/>
          <w:color w:val="000000"/>
          <w:szCs w:val="24"/>
          <w:lang w:val="en-US" w:eastAsia="zh-CN"/>
        </w:rPr>
        <w:t>其次</w:t>
      </w:r>
      <w:r>
        <w:rPr>
          <w:rFonts w:hint="eastAsia" w:ascii="宋体" w:hAnsi="宋体" w:eastAsia="宋体" w:cs="宋体"/>
          <w:color w:val="000000"/>
          <w:szCs w:val="24"/>
        </w:rPr>
        <w:t>增加了</w:t>
      </w:r>
      <w:r>
        <w:rPr>
          <w:rFonts w:hint="eastAsia" w:ascii="宋体" w:hAnsi="宋体" w:eastAsia="宋体" w:cs="宋体"/>
          <w:color w:val="000000"/>
          <w:szCs w:val="24"/>
          <w:lang w:val="en-US" w:eastAsia="zh-CN"/>
        </w:rPr>
        <w:t>应急管理、</w:t>
      </w:r>
      <w:r>
        <w:rPr>
          <w:rFonts w:hint="eastAsia" w:ascii="宋体" w:hAnsi="宋体" w:eastAsia="宋体" w:cs="宋体"/>
          <w:color w:val="000000"/>
          <w:szCs w:val="24"/>
        </w:rPr>
        <w:t>服务</w:t>
      </w:r>
      <w:r>
        <w:rPr>
          <w:rFonts w:hint="eastAsia" w:ascii="宋体" w:hAnsi="宋体" w:eastAsia="宋体" w:cs="宋体"/>
          <w:color w:val="000000"/>
          <w:szCs w:val="24"/>
          <w:lang w:val="en-US" w:eastAsia="zh-CN"/>
        </w:rPr>
        <w:t>评价与改进的</w:t>
      </w:r>
      <w:r>
        <w:rPr>
          <w:rFonts w:hint="eastAsia" w:ascii="宋体" w:hAnsi="宋体" w:eastAsia="宋体" w:cs="宋体"/>
          <w:color w:val="000000"/>
          <w:szCs w:val="24"/>
        </w:rPr>
        <w:t>章节，</w:t>
      </w:r>
      <w:r>
        <w:rPr>
          <w:rFonts w:hint="eastAsia" w:ascii="宋体" w:hAnsi="宋体" w:eastAsia="宋体" w:cs="宋体"/>
          <w:color w:val="000000"/>
          <w:szCs w:val="24"/>
          <w:lang w:val="en-US" w:eastAsia="zh-CN"/>
        </w:rPr>
        <w:t>保证标准的科学性、规范性、时效性；</w:t>
      </w:r>
      <w:r>
        <w:rPr>
          <w:rFonts w:hint="eastAsia" w:ascii="宋体" w:hAnsi="宋体" w:eastAsia="宋体" w:cs="宋体"/>
          <w:color w:val="000000"/>
          <w:szCs w:val="24"/>
        </w:rPr>
        <w:t>进一步梳理</w:t>
      </w:r>
      <w:r>
        <w:rPr>
          <w:rFonts w:hint="eastAsia" w:ascii="宋体" w:hAnsi="宋体" w:eastAsia="宋体" w:cs="宋体"/>
          <w:color w:val="000000"/>
          <w:szCs w:val="24"/>
          <w:lang w:val="en-US" w:eastAsia="zh-CN"/>
        </w:rPr>
        <w:t>形成服务流程图，提高标准质量</w:t>
      </w:r>
      <w:r>
        <w:rPr>
          <w:rFonts w:hint="eastAsia" w:ascii="宋体" w:hAnsi="宋体" w:eastAsia="宋体" w:cs="宋体"/>
          <w:color w:val="000000"/>
          <w:szCs w:val="24"/>
          <w:lang w:eastAsia="zh-CN"/>
        </w:rPr>
        <w:t>；</w:t>
      </w:r>
      <w:r>
        <w:rPr>
          <w:rFonts w:hint="eastAsia" w:ascii="宋体" w:hAnsi="宋体" w:eastAsia="宋体" w:cs="宋体"/>
          <w:color w:val="000000"/>
          <w:szCs w:val="24"/>
        </w:rPr>
        <w:t>最后</w:t>
      </w:r>
      <w:r>
        <w:rPr>
          <w:rFonts w:hint="eastAsia" w:ascii="宋体" w:hAnsi="宋体" w:eastAsia="宋体" w:cs="宋体"/>
          <w:color w:val="000000"/>
          <w:szCs w:val="24"/>
          <w:lang w:val="en-US" w:eastAsia="zh-CN"/>
        </w:rPr>
        <w:t>调整</w:t>
      </w:r>
      <w:r>
        <w:rPr>
          <w:rFonts w:hint="eastAsia" w:ascii="宋体" w:hAnsi="宋体" w:eastAsia="宋体" w:cs="宋体"/>
          <w:color w:val="000000"/>
          <w:szCs w:val="24"/>
        </w:rPr>
        <w:t>标准的细节要求</w:t>
      </w:r>
      <w:r>
        <w:rPr>
          <w:rFonts w:hint="eastAsia" w:ascii="宋体" w:hAnsi="宋体" w:eastAsia="宋体" w:cs="宋体"/>
          <w:color w:val="000000"/>
          <w:szCs w:val="24"/>
          <w:lang w:eastAsia="zh-CN"/>
        </w:rPr>
        <w:t>，</w:t>
      </w:r>
      <w:r>
        <w:rPr>
          <w:rFonts w:hint="eastAsia" w:ascii="宋体" w:hAnsi="宋体" w:eastAsia="宋体" w:cs="宋体"/>
          <w:color w:val="000000"/>
          <w:szCs w:val="24"/>
        </w:rPr>
        <w:t>使</w:t>
      </w:r>
      <w:r>
        <w:rPr>
          <w:rFonts w:hint="eastAsia" w:ascii="宋体" w:hAnsi="宋体" w:eastAsia="宋体" w:cs="宋体"/>
          <w:color w:val="000000"/>
          <w:szCs w:val="24"/>
          <w:lang w:val="en-US" w:eastAsia="zh-CN"/>
        </w:rPr>
        <w:t>之</w:t>
      </w:r>
      <w:r>
        <w:rPr>
          <w:rFonts w:hint="eastAsia" w:ascii="宋体" w:hAnsi="宋体" w:eastAsia="宋体" w:cs="宋体"/>
          <w:color w:val="000000"/>
          <w:szCs w:val="24"/>
        </w:rPr>
        <w:t>更加科学</w:t>
      </w:r>
      <w:r>
        <w:rPr>
          <w:rFonts w:hint="eastAsia" w:ascii="宋体" w:hAnsi="宋体" w:eastAsia="宋体" w:cs="宋体"/>
          <w:color w:val="000000"/>
          <w:szCs w:val="24"/>
          <w:lang w:val="en-US" w:eastAsia="zh-CN"/>
        </w:rPr>
        <w:t>规范</w:t>
      </w:r>
      <w:r>
        <w:rPr>
          <w:rFonts w:hint="eastAsia" w:ascii="宋体" w:hAnsi="宋体" w:eastAsia="宋体" w:cs="宋体"/>
          <w:color w:val="000000"/>
          <w:szCs w:val="24"/>
        </w:rPr>
        <w:t>。</w:t>
      </w:r>
    </w:p>
    <w:p>
      <w:pPr>
        <w:pStyle w:val="6"/>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80" w:lineRule="exact"/>
        <w:ind w:left="0" w:firstLine="480" w:firstLineChars="200"/>
        <w:textAlignment w:val="auto"/>
        <w:rPr>
          <w:rFonts w:hint="eastAsia" w:ascii="宋体" w:hAnsi="宋体" w:eastAsia="宋体" w:cs="宋体"/>
          <w:color w:val="000000"/>
          <w:szCs w:val="24"/>
          <w:lang w:eastAsia="zh-CN"/>
        </w:rPr>
      </w:pPr>
      <w:r>
        <w:rPr>
          <w:rFonts w:hint="eastAsia" w:ascii="宋体" w:hAnsi="宋体" w:eastAsia="宋体" w:cs="宋体"/>
          <w:color w:val="000000"/>
          <w:szCs w:val="24"/>
        </w:rPr>
        <w:t>征求意见稿阶段：我们在202</w:t>
      </w:r>
      <w:r>
        <w:rPr>
          <w:rFonts w:hint="eastAsia" w:ascii="宋体" w:hAnsi="宋体" w:eastAsia="宋体" w:cs="宋体"/>
          <w:color w:val="000000"/>
          <w:szCs w:val="24"/>
          <w:lang w:val="en-US" w:eastAsia="zh-CN"/>
        </w:rPr>
        <w:t>3</w:t>
      </w:r>
      <w:r>
        <w:rPr>
          <w:rFonts w:hint="eastAsia" w:ascii="宋体" w:hAnsi="宋体" w:eastAsia="宋体" w:cs="宋体"/>
          <w:color w:val="000000"/>
          <w:szCs w:val="24"/>
        </w:rPr>
        <w:t>年</w:t>
      </w:r>
      <w:r>
        <w:rPr>
          <w:rFonts w:hint="eastAsia" w:ascii="宋体" w:hAnsi="宋体" w:eastAsia="宋体" w:cs="宋体"/>
          <w:color w:val="000000"/>
          <w:szCs w:val="24"/>
          <w:lang w:val="en-US" w:eastAsia="zh-CN"/>
        </w:rPr>
        <w:t>3</w:t>
      </w:r>
      <w:r>
        <w:rPr>
          <w:rFonts w:hint="eastAsia" w:ascii="宋体" w:hAnsi="宋体" w:eastAsia="宋体" w:cs="宋体"/>
          <w:color w:val="000000"/>
          <w:szCs w:val="24"/>
        </w:rPr>
        <w:t>月底前对本规范的框架结构进行细微的调整和完善，确定征求意见稿的内容，完成征求意见稿。</w:t>
      </w:r>
    </w:p>
    <w:p>
      <w:pPr>
        <w:pStyle w:val="6"/>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80" w:lineRule="exact"/>
        <w:ind w:left="0" w:firstLine="480" w:firstLineChars="200"/>
        <w:textAlignment w:val="auto"/>
        <w:rPr>
          <w:rFonts w:hint="eastAsia" w:ascii="宋体" w:hAnsi="宋体" w:eastAsia="宋体" w:cs="宋体"/>
          <w:color w:val="000000"/>
          <w:szCs w:val="24"/>
          <w:lang w:eastAsia="zh-CN"/>
        </w:rPr>
      </w:pPr>
      <w:r>
        <w:rPr>
          <w:rFonts w:hint="eastAsia" w:ascii="宋体" w:hAnsi="宋体" w:eastAsia="宋体" w:cs="宋体"/>
          <w:color w:val="000000"/>
          <w:szCs w:val="24"/>
        </w:rPr>
        <w:t>征求意见阶段：202</w:t>
      </w:r>
      <w:r>
        <w:rPr>
          <w:rFonts w:hint="eastAsia" w:ascii="宋体" w:hAnsi="宋体" w:eastAsia="宋体" w:cs="宋体"/>
          <w:color w:val="000000"/>
          <w:szCs w:val="24"/>
          <w:lang w:val="en-US" w:eastAsia="zh-CN"/>
        </w:rPr>
        <w:t>4</w:t>
      </w:r>
      <w:r>
        <w:rPr>
          <w:rFonts w:hint="eastAsia" w:ascii="宋体" w:hAnsi="宋体" w:eastAsia="宋体" w:cs="宋体"/>
          <w:color w:val="000000"/>
          <w:szCs w:val="24"/>
        </w:rPr>
        <w:t>年</w:t>
      </w:r>
      <w:r>
        <w:rPr>
          <w:rFonts w:hint="eastAsia" w:ascii="宋体" w:hAnsi="宋体" w:eastAsia="宋体" w:cs="宋体"/>
          <w:color w:val="000000"/>
          <w:szCs w:val="24"/>
          <w:lang w:val="en-US" w:eastAsia="zh-CN"/>
        </w:rPr>
        <w:t>1</w:t>
      </w:r>
      <w:r>
        <w:rPr>
          <w:rFonts w:hint="eastAsia" w:ascii="宋体" w:hAnsi="宋体" w:eastAsia="宋体" w:cs="宋体"/>
          <w:color w:val="000000"/>
          <w:szCs w:val="24"/>
        </w:rPr>
        <w:t>-</w:t>
      </w:r>
      <w:r>
        <w:rPr>
          <w:rFonts w:hint="eastAsia" w:ascii="宋体" w:hAnsi="宋体" w:eastAsia="宋体" w:cs="宋体"/>
          <w:color w:val="000000"/>
          <w:szCs w:val="24"/>
          <w:lang w:val="en-US" w:eastAsia="zh-CN"/>
        </w:rPr>
        <w:t>4</w:t>
      </w:r>
      <w:r>
        <w:rPr>
          <w:rFonts w:hint="eastAsia" w:ascii="宋体" w:hAnsi="宋体" w:eastAsia="宋体" w:cs="宋体"/>
          <w:color w:val="000000"/>
          <w:szCs w:val="24"/>
        </w:rPr>
        <w:t>月，通过将标准征求意见稿向</w:t>
      </w:r>
      <w:r>
        <w:rPr>
          <w:rFonts w:hint="eastAsia" w:ascii="宋体" w:hAnsi="宋体" w:eastAsia="宋体" w:cs="宋体"/>
          <w:color w:val="000000"/>
          <w:szCs w:val="24"/>
          <w:lang w:val="en-US" w:eastAsia="zh-CN"/>
        </w:rPr>
        <w:t>江苏不同地区的三甲医院门诊部</w:t>
      </w:r>
      <w:r>
        <w:rPr>
          <w:rFonts w:hint="eastAsia" w:ascii="宋体" w:hAnsi="宋体" w:eastAsia="宋体" w:cs="宋体"/>
          <w:color w:val="000000"/>
          <w:szCs w:val="24"/>
        </w:rPr>
        <w:t>和部分</w:t>
      </w:r>
      <w:r>
        <w:rPr>
          <w:rFonts w:hint="eastAsia" w:ascii="宋体" w:hAnsi="宋体" w:eastAsia="宋体" w:cs="宋体"/>
          <w:color w:val="000000"/>
          <w:szCs w:val="24"/>
          <w:lang w:val="en-US" w:eastAsia="zh-CN"/>
        </w:rPr>
        <w:t>高校</w:t>
      </w:r>
      <w:r>
        <w:rPr>
          <w:rFonts w:hint="eastAsia" w:ascii="宋体" w:hAnsi="宋体" w:eastAsia="宋体" w:cs="宋体"/>
          <w:color w:val="000000"/>
          <w:szCs w:val="24"/>
        </w:rPr>
        <w:t>代表征求意见。</w:t>
      </w:r>
      <w:r>
        <w:rPr>
          <w:rFonts w:hint="eastAsia" w:ascii="宋体" w:hAnsi="宋体" w:eastAsia="宋体" w:cs="宋体"/>
          <w:color w:val="000000"/>
          <w:szCs w:val="24"/>
          <w:lang w:eastAsia="zh-CN"/>
        </w:rPr>
        <w:t>截至202</w:t>
      </w:r>
      <w:r>
        <w:rPr>
          <w:rFonts w:hint="eastAsia" w:ascii="宋体" w:hAnsi="宋体" w:eastAsia="宋体" w:cs="宋体"/>
          <w:color w:val="000000"/>
          <w:szCs w:val="24"/>
          <w:lang w:val="en-US" w:eastAsia="zh-CN"/>
        </w:rPr>
        <w:t>4</w:t>
      </w:r>
      <w:r>
        <w:rPr>
          <w:rFonts w:hint="eastAsia" w:ascii="宋体" w:hAnsi="宋体" w:eastAsia="宋体" w:cs="宋体"/>
          <w:color w:val="000000"/>
          <w:szCs w:val="24"/>
          <w:lang w:eastAsia="zh-CN"/>
        </w:rPr>
        <w:t>年</w:t>
      </w:r>
      <w:r>
        <w:rPr>
          <w:rFonts w:hint="eastAsia" w:ascii="宋体" w:hAnsi="宋体" w:eastAsia="宋体" w:cs="宋体"/>
          <w:color w:val="000000"/>
          <w:szCs w:val="24"/>
          <w:lang w:val="en-US" w:eastAsia="zh-CN"/>
        </w:rPr>
        <w:t>4</w:t>
      </w:r>
      <w:r>
        <w:rPr>
          <w:rFonts w:hint="eastAsia" w:ascii="宋体" w:hAnsi="宋体" w:eastAsia="宋体" w:cs="宋体"/>
          <w:color w:val="000000"/>
          <w:szCs w:val="24"/>
        </w:rPr>
        <w:t>月底，共征集</w:t>
      </w:r>
      <w:r>
        <w:rPr>
          <w:rFonts w:hint="eastAsia" w:ascii="宋体" w:hAnsi="宋体" w:eastAsia="宋体" w:cs="宋体"/>
          <w:color w:val="000000"/>
          <w:szCs w:val="24"/>
          <w:lang w:val="en-US" w:eastAsia="zh-CN"/>
        </w:rPr>
        <w:t>21</w:t>
      </w:r>
      <w:r>
        <w:rPr>
          <w:rFonts w:hint="eastAsia" w:ascii="宋体" w:hAnsi="宋体" w:eastAsia="宋体" w:cs="宋体"/>
          <w:color w:val="000000"/>
          <w:szCs w:val="24"/>
        </w:rPr>
        <w:t>条意见，并根据开会讨论结果，对征集到的意见进行了逐一处理其中，</w:t>
      </w:r>
      <w:r>
        <w:rPr>
          <w:rFonts w:hint="eastAsia" w:ascii="宋体" w:hAnsi="宋体" w:eastAsia="宋体" w:cs="宋体"/>
          <w:color w:val="000000"/>
          <w:szCs w:val="24"/>
          <w:lang w:val="en-US" w:eastAsia="zh-CN"/>
        </w:rPr>
        <w:t>并</w:t>
      </w:r>
      <w:r>
        <w:rPr>
          <w:rFonts w:hint="eastAsia" w:ascii="宋体" w:hAnsi="宋体" w:eastAsia="宋体" w:cs="宋体"/>
          <w:color w:val="000000"/>
          <w:szCs w:val="24"/>
        </w:rPr>
        <w:t>对标准初稿进行修改和补充</w:t>
      </w:r>
      <w:r>
        <w:rPr>
          <w:rFonts w:hint="eastAsia" w:ascii="宋体" w:hAnsi="宋体" w:eastAsia="宋体" w:cs="宋体"/>
          <w:color w:val="000000"/>
          <w:szCs w:val="24"/>
          <w:lang w:eastAsia="zh-CN"/>
        </w:rPr>
        <w:t>。</w:t>
      </w:r>
    </w:p>
    <w:p>
      <w:pPr>
        <w:pStyle w:val="6"/>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80" w:lineRule="exact"/>
        <w:ind w:left="0" w:firstLine="480" w:firstLineChars="200"/>
        <w:textAlignment w:val="auto"/>
        <w:rPr>
          <w:rFonts w:hint="eastAsia" w:ascii="宋体" w:hAnsi="宋体" w:eastAsia="宋体" w:cs="宋体"/>
          <w:sz w:val="24"/>
          <w:szCs w:val="24"/>
        </w:rPr>
      </w:pPr>
      <w:r>
        <w:rPr>
          <w:rFonts w:hint="eastAsia" w:ascii="宋体" w:hAnsi="宋体" w:eastAsia="宋体" w:cs="宋体"/>
          <w:color w:val="000000"/>
          <w:szCs w:val="24"/>
        </w:rPr>
        <w:t>送审报批阶段：202</w:t>
      </w:r>
      <w:r>
        <w:rPr>
          <w:rFonts w:hint="eastAsia" w:ascii="宋体" w:hAnsi="宋体" w:eastAsia="宋体" w:cs="宋体"/>
          <w:color w:val="000000"/>
          <w:szCs w:val="24"/>
          <w:lang w:val="en-US" w:eastAsia="zh-CN"/>
        </w:rPr>
        <w:t>4</w:t>
      </w:r>
      <w:r>
        <w:rPr>
          <w:rFonts w:hint="eastAsia" w:ascii="宋体" w:hAnsi="宋体" w:eastAsia="宋体" w:cs="宋体"/>
          <w:color w:val="000000"/>
          <w:szCs w:val="24"/>
        </w:rPr>
        <w:t>年</w:t>
      </w:r>
      <w:r>
        <w:rPr>
          <w:rFonts w:hint="eastAsia" w:ascii="宋体" w:hAnsi="宋体" w:eastAsia="宋体" w:cs="宋体"/>
          <w:color w:val="000000"/>
          <w:szCs w:val="24"/>
          <w:lang w:val="en-US" w:eastAsia="zh-CN"/>
        </w:rPr>
        <w:t>6</w:t>
      </w:r>
      <w:r>
        <w:rPr>
          <w:rFonts w:hint="eastAsia" w:ascii="宋体" w:hAnsi="宋体" w:eastAsia="宋体" w:cs="宋体"/>
          <w:color w:val="000000"/>
          <w:szCs w:val="24"/>
        </w:rPr>
        <w:t>月底，完成送审稿。</w:t>
      </w:r>
    </w:p>
    <w:p>
      <w:pPr>
        <w:spacing w:line="580" w:lineRule="exact"/>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四、主要内容技术指标确立</w:t>
      </w:r>
    </w:p>
    <w:p>
      <w:pPr>
        <w:pStyle w:val="6"/>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80" w:lineRule="exact"/>
        <w:ind w:left="0" w:firstLine="480" w:firstLineChars="200"/>
        <w:textAlignment w:val="auto"/>
        <w:rPr>
          <w:rFonts w:hint="eastAsia" w:ascii="宋体" w:hAnsi="宋体" w:eastAsia="宋体" w:cs="宋体"/>
          <w:color w:val="000000"/>
          <w:szCs w:val="24"/>
          <w:lang w:val="en-US" w:eastAsia="zh-CN"/>
        </w:rPr>
      </w:pPr>
      <w:r>
        <w:rPr>
          <w:rFonts w:hint="eastAsia" w:ascii="宋体" w:hAnsi="宋体" w:eastAsia="宋体" w:cs="宋体"/>
          <w:color w:val="000000"/>
          <w:szCs w:val="24"/>
          <w:lang w:val="en-US" w:eastAsia="zh-CN"/>
        </w:rPr>
        <w:t>本标准的制订依据《医疗机构基本标准（试行）》《三级医院评审标准》等及其实施条例的相关规定，按GB/T 1.1-2009《标准化工作导则 第1部分：标准的结构和编写规则》中的原则要求进行编写。</w:t>
      </w:r>
    </w:p>
    <w:p>
      <w:pPr>
        <w:spacing w:line="580" w:lineRule="exact"/>
        <w:ind w:firstLine="480" w:firstLineChars="200"/>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eastAsia="zh-CN"/>
        </w:rPr>
        <w:t>（</w:t>
      </w:r>
      <w:r>
        <w:rPr>
          <w:rFonts w:hint="eastAsia" w:ascii="宋体" w:hAnsi="宋体" w:eastAsia="宋体" w:cs="宋体"/>
          <w:sz w:val="24"/>
          <w:szCs w:val="24"/>
          <w:u w:val="none"/>
          <w:lang w:val="en-US" w:eastAsia="zh-CN"/>
        </w:rPr>
        <w:t>1</w:t>
      </w:r>
      <w:r>
        <w:rPr>
          <w:rFonts w:hint="eastAsia" w:ascii="宋体" w:hAnsi="宋体" w:eastAsia="宋体" w:cs="宋体"/>
          <w:sz w:val="24"/>
          <w:szCs w:val="24"/>
          <w:u w:val="none"/>
          <w:lang w:eastAsia="zh-CN"/>
        </w:rPr>
        <w:t>）</w:t>
      </w:r>
      <w:r>
        <w:rPr>
          <w:rFonts w:hint="eastAsia" w:ascii="宋体" w:hAnsi="宋体" w:eastAsia="宋体" w:cs="宋体"/>
          <w:b/>
          <w:bCs/>
          <w:sz w:val="24"/>
          <w:szCs w:val="24"/>
          <w:u w:val="none"/>
          <w:lang w:val="en-US" w:eastAsia="zh-CN"/>
        </w:rPr>
        <w:t>第一章</w:t>
      </w:r>
      <w:r>
        <w:rPr>
          <w:rFonts w:hint="eastAsia" w:ascii="宋体" w:hAnsi="宋体" w:eastAsia="宋体" w:cs="宋体"/>
          <w:sz w:val="24"/>
          <w:szCs w:val="24"/>
          <w:u w:val="none"/>
          <w:lang w:val="en-US" w:eastAsia="zh-CN"/>
        </w:rPr>
        <w:t>规定了标准适用范围。</w:t>
      </w:r>
    </w:p>
    <w:p>
      <w:pPr>
        <w:spacing w:line="580" w:lineRule="exact"/>
        <w:ind w:firstLine="480" w:firstLineChars="200"/>
        <w:rPr>
          <w:rFonts w:hint="eastAsia" w:ascii="宋体" w:hAnsi="宋体" w:eastAsia="宋体" w:cs="宋体"/>
          <w:sz w:val="24"/>
          <w:szCs w:val="24"/>
          <w:u w:val="none"/>
        </w:rPr>
      </w:pPr>
      <w:r>
        <w:rPr>
          <w:rFonts w:hint="eastAsia" w:ascii="宋体" w:hAnsi="宋体" w:eastAsia="宋体" w:cs="宋体"/>
          <w:sz w:val="24"/>
          <w:szCs w:val="24"/>
          <w:u w:val="none"/>
          <w:lang w:val="en-US" w:eastAsia="zh-CN"/>
        </w:rPr>
        <w:t>本文件规定了三级医疗机构门诊服务的人员、服务、应急处理、服务评价与改进等方面的要求。本文件适用于三级医院门诊部（不含急诊、发热门诊、肠道门诊、互联网门诊）开展门诊服务。</w:t>
      </w:r>
      <w:r>
        <w:rPr>
          <w:rFonts w:hint="eastAsia" w:ascii="宋体" w:hAnsi="宋体" w:eastAsia="宋体" w:cs="宋体"/>
          <w:sz w:val="24"/>
          <w:szCs w:val="24"/>
          <w:u w:val="none"/>
        </w:rPr>
        <w:t xml:space="preserve"> </w:t>
      </w:r>
    </w:p>
    <w:p>
      <w:pPr>
        <w:spacing w:line="580" w:lineRule="exact"/>
        <w:ind w:firstLine="480" w:firstLineChars="200"/>
        <w:rPr>
          <w:rFonts w:hint="default"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（2）</w:t>
      </w:r>
      <w:r>
        <w:rPr>
          <w:rFonts w:hint="eastAsia" w:ascii="宋体" w:hAnsi="宋体" w:eastAsia="宋体" w:cs="宋体"/>
          <w:b/>
          <w:bCs/>
          <w:sz w:val="24"/>
          <w:szCs w:val="24"/>
          <w:u w:val="none"/>
          <w:lang w:val="en-US" w:eastAsia="zh-CN"/>
        </w:rPr>
        <w:t>第二章</w:t>
      </w:r>
      <w:r>
        <w:rPr>
          <w:rFonts w:hint="eastAsia" w:ascii="宋体" w:hAnsi="宋体" w:eastAsia="宋体" w:cs="宋体"/>
          <w:sz w:val="24"/>
          <w:szCs w:val="24"/>
          <w:u w:val="none"/>
          <w:lang w:val="en-US" w:eastAsia="zh-CN"/>
        </w:rPr>
        <w:t>列出了规范性引用的文件，主要为</w:t>
      </w:r>
      <w:r>
        <w:rPr>
          <w:rFonts w:hint="default" w:ascii="宋体" w:hAnsi="宋体" w:eastAsia="宋体" w:cs="宋体"/>
          <w:sz w:val="24"/>
          <w:szCs w:val="24"/>
          <w:u w:val="none"/>
          <w:lang w:val="en-US" w:eastAsia="zh-CN"/>
        </w:rPr>
        <w:t>国家卫生健康委印发 《医疗机构门诊质量管理暂行规定》</w:t>
      </w:r>
      <w:r>
        <w:rPr>
          <w:rFonts w:hint="eastAsia" w:ascii="宋体" w:hAnsi="宋体" w:eastAsia="宋体" w:cs="宋体"/>
          <w:sz w:val="24"/>
          <w:szCs w:val="24"/>
          <w:u w:val="none"/>
          <w:lang w:val="en-US" w:eastAsia="zh-CN"/>
        </w:rPr>
        <w:t>。</w:t>
      </w:r>
    </w:p>
    <w:p>
      <w:pPr>
        <w:spacing w:line="580" w:lineRule="exact"/>
        <w:ind w:firstLine="480" w:firstLineChars="200"/>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（3）</w:t>
      </w:r>
      <w:r>
        <w:rPr>
          <w:rFonts w:hint="eastAsia" w:ascii="宋体" w:hAnsi="宋体" w:eastAsia="宋体" w:cs="宋体"/>
          <w:b/>
          <w:bCs/>
          <w:sz w:val="24"/>
          <w:szCs w:val="24"/>
          <w:u w:val="none"/>
          <w:lang w:val="en-US" w:eastAsia="zh-CN"/>
        </w:rPr>
        <w:t>第三章</w:t>
      </w:r>
      <w:r>
        <w:rPr>
          <w:rFonts w:hint="eastAsia" w:ascii="宋体" w:hAnsi="宋体" w:eastAsia="宋体" w:cs="宋体"/>
          <w:sz w:val="24"/>
          <w:szCs w:val="24"/>
          <w:u w:val="none"/>
          <w:lang w:val="en-US" w:eastAsia="zh-CN"/>
        </w:rPr>
        <w:t>对本标准中出现的重要术语给出了准确的定义。根据 GB/T1.1-2020 对“术语和定义”起草和表述的要求，给出了三级医院、门诊2项术语的定义和英文对应词。</w:t>
      </w:r>
    </w:p>
    <w:p>
      <w:pPr>
        <w:spacing w:line="580" w:lineRule="exact"/>
        <w:ind w:firstLine="480" w:firstLineChars="200"/>
        <w:rPr>
          <w:rFonts w:hint="default"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（4）</w:t>
      </w:r>
      <w:r>
        <w:rPr>
          <w:rFonts w:hint="eastAsia" w:ascii="宋体" w:hAnsi="宋体" w:eastAsia="宋体" w:cs="宋体"/>
          <w:b/>
          <w:bCs/>
          <w:sz w:val="24"/>
          <w:szCs w:val="24"/>
          <w:u w:val="none"/>
          <w:lang w:val="en-US" w:eastAsia="zh-CN"/>
        </w:rPr>
        <w:t>第四章</w:t>
      </w:r>
      <w:r>
        <w:rPr>
          <w:rFonts w:hint="eastAsia" w:ascii="宋体" w:hAnsi="宋体" w:eastAsia="宋体" w:cs="宋体"/>
          <w:sz w:val="24"/>
          <w:szCs w:val="24"/>
          <w:u w:val="none"/>
          <w:lang w:val="en-US" w:eastAsia="zh-CN"/>
        </w:rPr>
        <w:t>给出了4人员要求，分为行政人员、医务人员、护理人员和服务人员四类。</w:t>
      </w:r>
    </w:p>
    <w:p>
      <w:pPr>
        <w:spacing w:line="580" w:lineRule="exact"/>
        <w:ind w:firstLine="480" w:firstLineChars="200"/>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（5）</w:t>
      </w:r>
      <w:r>
        <w:rPr>
          <w:rFonts w:hint="eastAsia" w:ascii="宋体" w:hAnsi="宋体" w:eastAsia="宋体" w:cs="宋体"/>
          <w:b/>
          <w:bCs/>
          <w:sz w:val="24"/>
          <w:szCs w:val="24"/>
          <w:u w:val="none"/>
          <w:lang w:val="en-US" w:eastAsia="zh-CN"/>
        </w:rPr>
        <w:t>第五章</w:t>
      </w:r>
      <w:r>
        <w:rPr>
          <w:rFonts w:hint="eastAsia" w:ascii="宋体" w:hAnsi="宋体" w:eastAsia="宋体" w:cs="宋体"/>
          <w:sz w:val="24"/>
          <w:szCs w:val="24"/>
          <w:u w:val="none"/>
          <w:lang w:val="en-US" w:eastAsia="zh-CN"/>
        </w:rPr>
        <w:t>介绍了服务流程。</w:t>
      </w:r>
    </w:p>
    <w:p>
      <w:pPr>
        <w:spacing w:line="580" w:lineRule="exact"/>
        <w:ind w:firstLine="480" w:firstLineChars="200"/>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（6）</w:t>
      </w:r>
      <w:r>
        <w:rPr>
          <w:rFonts w:hint="eastAsia" w:ascii="宋体" w:hAnsi="宋体" w:eastAsia="宋体" w:cs="宋体"/>
          <w:b/>
          <w:bCs/>
          <w:sz w:val="24"/>
          <w:szCs w:val="24"/>
          <w:u w:val="none"/>
          <w:lang w:val="en-US" w:eastAsia="zh-CN"/>
        </w:rPr>
        <w:t>第六章</w:t>
      </w:r>
      <w:r>
        <w:rPr>
          <w:rFonts w:hint="eastAsia" w:ascii="宋体" w:hAnsi="宋体" w:eastAsia="宋体" w:cs="宋体"/>
          <w:sz w:val="24"/>
          <w:szCs w:val="24"/>
          <w:u w:val="none"/>
          <w:lang w:val="en-US" w:eastAsia="zh-CN"/>
        </w:rPr>
        <w:t>给出了服务内容，包含挂号、诊疗、检查检验、药物提供、健康随访与宣教五项。</w:t>
      </w:r>
    </w:p>
    <w:p>
      <w:pPr>
        <w:spacing w:line="580" w:lineRule="exact"/>
        <w:ind w:firstLine="480" w:firstLineChars="200"/>
        <w:rPr>
          <w:rFonts w:hint="default"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（7）</w:t>
      </w:r>
      <w:r>
        <w:rPr>
          <w:rFonts w:hint="eastAsia" w:ascii="宋体" w:hAnsi="宋体" w:eastAsia="宋体" w:cs="宋体"/>
          <w:b/>
          <w:bCs/>
          <w:sz w:val="24"/>
          <w:szCs w:val="24"/>
          <w:u w:val="none"/>
          <w:lang w:val="en-US" w:eastAsia="zh-CN"/>
        </w:rPr>
        <w:t>第七章</w:t>
      </w:r>
      <w:r>
        <w:rPr>
          <w:rFonts w:hint="eastAsia" w:ascii="宋体" w:hAnsi="宋体" w:eastAsia="宋体" w:cs="宋体"/>
          <w:sz w:val="24"/>
          <w:szCs w:val="24"/>
          <w:u w:val="none"/>
          <w:lang w:val="en-US" w:eastAsia="zh-CN"/>
        </w:rPr>
        <w:t>介绍了应急管理，包含应急指挥协调、分级分类管理、预警报告机制、启动应急预案和应急培训演练五项。</w:t>
      </w:r>
    </w:p>
    <w:p>
      <w:pPr>
        <w:spacing w:line="580" w:lineRule="exact"/>
        <w:ind w:firstLine="480" w:firstLineChars="200"/>
        <w:rPr>
          <w:rFonts w:hint="eastAsia" w:ascii="宋体" w:hAnsi="宋体" w:eastAsia="宋体" w:cs="宋体"/>
          <w:color w:val="000000"/>
          <w:szCs w:val="24"/>
          <w:lang w:val="en-US" w:eastAsia="zh-CN"/>
        </w:rPr>
      </w:pPr>
      <w:r>
        <w:rPr>
          <w:rFonts w:hint="eastAsia" w:ascii="宋体" w:hAnsi="宋体" w:eastAsia="宋体" w:cs="宋体"/>
          <w:sz w:val="24"/>
          <w:szCs w:val="24"/>
          <w:u w:val="none"/>
          <w:lang w:val="en-US" w:eastAsia="zh-CN"/>
        </w:rPr>
        <w:t>（8）</w:t>
      </w:r>
      <w:r>
        <w:rPr>
          <w:rFonts w:hint="eastAsia" w:ascii="宋体" w:hAnsi="宋体" w:eastAsia="宋体" w:cs="宋体"/>
          <w:b/>
          <w:bCs/>
          <w:sz w:val="24"/>
          <w:szCs w:val="24"/>
          <w:u w:val="none"/>
          <w:lang w:val="en-US" w:eastAsia="zh-CN"/>
        </w:rPr>
        <w:t>第八章</w:t>
      </w:r>
      <w:r>
        <w:rPr>
          <w:rFonts w:hint="eastAsia" w:ascii="宋体" w:hAnsi="宋体" w:eastAsia="宋体" w:cs="宋体"/>
          <w:sz w:val="24"/>
          <w:szCs w:val="24"/>
          <w:u w:val="none"/>
          <w:lang w:val="en-US" w:eastAsia="zh-CN"/>
        </w:rPr>
        <w:t>给出了服务评价与改进。</w:t>
      </w:r>
    </w:p>
    <w:p>
      <w:pPr>
        <w:spacing w:line="580" w:lineRule="exact"/>
        <w:ind w:firstLine="640" w:firstLineChars="200"/>
        <w:rPr>
          <w:rFonts w:hint="eastAsia" w:ascii="宋体" w:hAnsi="宋体" w:eastAsia="宋体" w:cs="宋体"/>
          <w:color w:val="000000"/>
          <w:szCs w:val="24"/>
          <w:lang w:val="en-US" w:eastAsia="zh-CN"/>
        </w:rPr>
      </w:pPr>
      <w:r>
        <w:rPr>
          <w:rFonts w:hint="eastAsia" w:ascii="黑体" w:hAnsi="黑体" w:eastAsia="黑体" w:cs="黑体"/>
          <w:sz w:val="32"/>
          <w:szCs w:val="32"/>
        </w:rPr>
        <w:t>五、技术指标确定的依据</w:t>
      </w:r>
    </w:p>
    <w:p>
      <w:pPr>
        <w:pStyle w:val="6"/>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80" w:lineRule="exact"/>
        <w:ind w:left="0" w:firstLine="480" w:firstLineChars="200"/>
        <w:textAlignment w:val="auto"/>
        <w:rPr>
          <w:rFonts w:hint="eastAsia" w:ascii="宋体" w:hAnsi="宋体" w:eastAsia="宋体" w:cs="宋体"/>
          <w:color w:val="000000"/>
          <w:szCs w:val="24"/>
          <w:lang w:val="en-US" w:eastAsia="zh-CN"/>
        </w:rPr>
      </w:pPr>
      <w:r>
        <w:rPr>
          <w:rFonts w:hint="eastAsia" w:ascii="宋体" w:hAnsi="宋体" w:eastAsia="宋体" w:cs="宋体"/>
          <w:color w:val="000000"/>
          <w:szCs w:val="24"/>
          <w:lang w:val="en-US" w:eastAsia="zh-CN"/>
        </w:rPr>
        <w:t>查阅资料：工作组充分梳理、分析了我国现行有效的标准、规范的要求，收集了三级医院相关的法律法规、门诊部门规章制度以及相关服务流程规范的研究文献。与门诊服务相关的现行标准主要有GB/T 40973-2021《针灸门诊基本服务规范》、DB 34/T 4327-2022《门诊预约诊疗服务规范》等。对上述法规、标准、研究文献，本标准根据编写目的需求，有针对性地筛选，对于符合要求的本标准均予以吸收和引用。</w:t>
      </w:r>
    </w:p>
    <w:p>
      <w:pPr>
        <w:pStyle w:val="6"/>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80" w:lineRule="exact"/>
        <w:ind w:left="0" w:firstLine="480" w:firstLineChars="200"/>
        <w:textAlignment w:val="auto"/>
        <w:rPr>
          <w:rFonts w:hint="eastAsia" w:ascii="宋体" w:hAnsi="宋体" w:eastAsia="宋体" w:cs="宋体"/>
          <w:color w:val="000000"/>
          <w:szCs w:val="24"/>
          <w:lang w:val="en-US" w:eastAsia="zh-CN"/>
        </w:rPr>
      </w:pPr>
      <w:r>
        <w:rPr>
          <w:rFonts w:hint="eastAsia" w:ascii="宋体" w:hAnsi="宋体" w:eastAsia="宋体" w:cs="宋体"/>
          <w:color w:val="000000"/>
          <w:szCs w:val="24"/>
          <w:lang w:val="en-US" w:eastAsia="zh-CN"/>
        </w:rPr>
        <w:t>实地调研：标准起草工作以风险评估为依据，通过设计现场调查表，采取查、看、听等方式对不同三级医院门诊进行了实地调研工作。先后实地走访了多家三级医院，参观了门诊部，详细了解服务工作与流程，对相关人员的职能职责进行了深入了解和询查。</w:t>
      </w:r>
    </w:p>
    <w:p>
      <w:pPr>
        <w:pStyle w:val="6"/>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80" w:lineRule="exact"/>
        <w:ind w:left="0" w:firstLine="480" w:firstLineChars="200"/>
        <w:textAlignment w:val="auto"/>
        <w:rPr>
          <w:rFonts w:hint="eastAsia" w:ascii="宋体" w:hAnsi="宋体" w:eastAsia="宋体" w:cs="宋体"/>
          <w:color w:val="000000"/>
          <w:szCs w:val="24"/>
          <w:lang w:val="en-US" w:eastAsia="zh-CN"/>
        </w:rPr>
      </w:pPr>
      <w:r>
        <w:rPr>
          <w:rFonts w:hint="eastAsia" w:ascii="宋体" w:hAnsi="宋体" w:eastAsia="宋体" w:cs="宋体"/>
          <w:color w:val="000000"/>
          <w:szCs w:val="24"/>
          <w:lang w:val="en-US" w:eastAsia="zh-CN"/>
        </w:rPr>
        <w:t>头脑风暴：在专家调研座谈会上，标准工作组就地方标准制定的背景过程和意义作用作了说明，与会人员对标准的适应性、可操作性等进行了广泛的讨论。工作</w:t>
      </w:r>
      <w:r>
        <w:rPr>
          <w:rFonts w:hint="eastAsia" w:ascii="宋体" w:hAnsi="宋体" w:eastAsia="宋体" w:cs="宋体"/>
          <w:color w:val="000000"/>
          <w:szCs w:val="24"/>
        </w:rPr>
        <w:t>组广泛</w:t>
      </w:r>
      <w:r>
        <w:rPr>
          <w:rFonts w:hint="eastAsia" w:ascii="宋体" w:hAnsi="宋体" w:eastAsia="宋体" w:cs="宋体"/>
          <w:color w:val="000000"/>
          <w:szCs w:val="24"/>
          <w:lang w:val="en-US" w:eastAsia="zh-CN"/>
        </w:rPr>
        <w:t>听取了专家及相关方面的意见和建议，比如：“三级公立医院门诊管理服务规范侧重点还是在服务”；“门诊服务更多的是对外服务，要把内部管理+对外服务+应急都表示出来”；“主体框架需要包括人员要求、服务内容、服务流程</w:t>
      </w:r>
      <w:bookmarkStart w:id="0" w:name="OLE_LINK3"/>
      <w:r>
        <w:rPr>
          <w:rFonts w:hint="eastAsia" w:ascii="宋体" w:hAnsi="宋体" w:eastAsia="宋体" w:cs="宋体"/>
          <w:color w:val="000000"/>
          <w:szCs w:val="24"/>
          <w:lang w:val="en-US" w:eastAsia="zh-CN"/>
        </w:rPr>
        <w:t>、服务评价</w:t>
      </w:r>
      <w:bookmarkEnd w:id="0"/>
      <w:r>
        <w:rPr>
          <w:rFonts w:hint="eastAsia" w:ascii="宋体" w:hAnsi="宋体" w:eastAsia="宋体" w:cs="宋体"/>
          <w:color w:val="000000"/>
          <w:szCs w:val="24"/>
          <w:lang w:val="en-US" w:eastAsia="zh-CN"/>
        </w:rPr>
        <w:t>”等。</w:t>
      </w:r>
    </w:p>
    <w:p>
      <w:pPr>
        <w:spacing w:line="580" w:lineRule="exact"/>
        <w:ind w:firstLine="640" w:firstLineChars="200"/>
        <w:rPr>
          <w:rFonts w:ascii="黑体" w:hAnsi="黑体" w:eastAsia="黑体" w:cs="黑体"/>
          <w:sz w:val="32"/>
          <w:szCs w:val="32"/>
        </w:rPr>
      </w:pPr>
      <w:r>
        <w:rPr>
          <w:rFonts w:hint="eastAsia" w:ascii="黑体" w:hAnsi="黑体" w:eastAsia="黑体" w:cs="黑体"/>
          <w:sz w:val="32"/>
          <w:szCs w:val="32"/>
        </w:rPr>
        <w:t>六、重大分歧意见的处理过程和依据</w:t>
      </w:r>
    </w:p>
    <w:p>
      <w:pPr>
        <w:spacing w:line="580" w:lineRule="exact"/>
        <w:ind w:firstLine="480" w:firstLineChars="200"/>
        <w:rPr>
          <w:rFonts w:hint="eastAsia" w:ascii="黑体" w:hAnsi="黑体" w:eastAsia="黑体" w:cs="黑体"/>
          <w:sz w:val="32"/>
          <w:szCs w:val="32"/>
        </w:rPr>
      </w:pPr>
      <w:r>
        <w:rPr>
          <w:rFonts w:hint="eastAsia" w:ascii="宋体" w:hAnsi="宋体" w:eastAsia="宋体" w:cs="宋体"/>
          <w:sz w:val="24"/>
          <w:szCs w:val="24"/>
          <w:u w:val="none"/>
        </w:rPr>
        <w:t>无</w:t>
      </w:r>
    </w:p>
    <w:p>
      <w:pPr>
        <w:spacing w:line="58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七、与相关法律法规和国家标准的关系</w:t>
      </w:r>
    </w:p>
    <w:p>
      <w:pPr>
        <w:pStyle w:val="6"/>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80" w:lineRule="exact"/>
        <w:ind w:left="0" w:firstLine="480" w:firstLineChars="200"/>
        <w:textAlignment w:val="auto"/>
        <w:rPr>
          <w:rFonts w:hint="eastAsia" w:ascii="宋体" w:hAnsi="宋体" w:eastAsia="宋体" w:cs="宋体"/>
          <w:color w:val="000000"/>
          <w:szCs w:val="24"/>
          <w:lang w:val="en-US" w:eastAsia="zh-CN"/>
        </w:rPr>
      </w:pPr>
      <w:r>
        <w:rPr>
          <w:rFonts w:hint="eastAsia" w:ascii="宋体" w:hAnsi="宋体" w:eastAsia="宋体" w:cs="宋体"/>
          <w:color w:val="000000"/>
          <w:szCs w:val="24"/>
          <w:lang w:val="en-US" w:eastAsia="zh-CN"/>
        </w:rPr>
        <w:t>符合相关法律法规要求，技术指标高于国家标准相关技术要求。</w:t>
      </w:r>
    </w:p>
    <w:p>
      <w:pPr>
        <w:spacing w:line="58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八、推广实施建议</w:t>
      </w:r>
    </w:p>
    <w:p>
      <w:pPr>
        <w:pStyle w:val="6"/>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80" w:lineRule="exact"/>
        <w:ind w:left="0" w:firstLine="480" w:firstLineChars="200"/>
        <w:textAlignment w:val="auto"/>
        <w:rPr>
          <w:rFonts w:hint="eastAsia" w:ascii="宋体" w:hAnsi="宋体" w:eastAsia="宋体" w:cs="宋体"/>
          <w:color w:val="000000"/>
          <w:szCs w:val="24"/>
          <w:lang w:val="en-US" w:eastAsia="zh-CN"/>
        </w:rPr>
      </w:pPr>
      <w:r>
        <w:rPr>
          <w:rFonts w:hint="eastAsia" w:ascii="宋体" w:hAnsi="宋体" w:eastAsia="宋体" w:cs="宋体"/>
          <w:color w:val="000000"/>
          <w:szCs w:val="24"/>
          <w:lang w:val="en-US" w:eastAsia="zh-CN"/>
        </w:rPr>
        <w:t>本标准如果颁布实施，可以作为省内三级医院门诊服务规范化管理的依据，为更好地实施推广本标准，建议如下：</w:t>
      </w:r>
    </w:p>
    <w:p>
      <w:pPr>
        <w:pStyle w:val="6"/>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80" w:lineRule="exact"/>
        <w:ind w:left="0" w:firstLine="480" w:firstLineChars="200"/>
        <w:textAlignment w:val="auto"/>
        <w:rPr>
          <w:rFonts w:hint="eastAsia" w:ascii="宋体" w:hAnsi="宋体" w:eastAsia="宋体" w:cs="宋体"/>
          <w:color w:val="000000"/>
          <w:szCs w:val="24"/>
          <w:lang w:val="en-US" w:eastAsia="zh-CN"/>
        </w:rPr>
      </w:pPr>
      <w:r>
        <w:rPr>
          <w:rFonts w:hint="eastAsia" w:ascii="宋体" w:hAnsi="宋体" w:eastAsia="宋体" w:cs="宋体"/>
          <w:color w:val="000000"/>
          <w:szCs w:val="24"/>
          <w:lang w:val="en-US" w:eastAsia="zh-CN"/>
        </w:rPr>
        <w:t>（1）利用各类新闻媒体或采用其他方式，广泛宣传本标准，形成良好的氛围，有效实现对三级医院门诊服务的社会监督。</w:t>
      </w:r>
    </w:p>
    <w:p>
      <w:pPr>
        <w:pStyle w:val="6"/>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80" w:lineRule="exact"/>
        <w:ind w:left="0" w:firstLine="480" w:firstLineChars="200"/>
        <w:textAlignment w:val="auto"/>
        <w:rPr>
          <w:rFonts w:hint="eastAsia" w:ascii="宋体" w:hAnsi="宋体" w:eastAsia="宋体" w:cs="宋体"/>
          <w:sz w:val="24"/>
          <w:szCs w:val="24"/>
          <w:u w:val="none"/>
        </w:rPr>
      </w:pPr>
      <w:r>
        <w:rPr>
          <w:rFonts w:hint="eastAsia" w:ascii="宋体" w:hAnsi="宋体" w:eastAsia="宋体" w:cs="宋体"/>
          <w:color w:val="000000"/>
          <w:szCs w:val="24"/>
          <w:lang w:val="en-US" w:eastAsia="zh-CN"/>
        </w:rPr>
        <w:t>（2）各级市场监管部门要不断强化对三级医院门诊服务的监督管理，通过执法检查和宣贯活动促进我省三级医院门诊服务按照标准要求进一步得到规范。</w:t>
      </w:r>
      <w:r>
        <w:rPr>
          <w:rFonts w:hint="eastAsia" w:ascii="宋体" w:hAnsi="宋体" w:eastAsia="宋体" w:cs="宋体"/>
          <w:sz w:val="24"/>
          <w:szCs w:val="24"/>
          <w:u w:val="none"/>
        </w:rPr>
        <w:t xml:space="preserve"> </w:t>
      </w:r>
    </w:p>
    <w:p>
      <w:pPr>
        <w:spacing w:line="58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九、起草单位和起草人员信息及分工</w:t>
      </w:r>
      <w:bookmarkStart w:id="1" w:name="_GoBack"/>
      <w:bookmarkEnd w:id="1"/>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30"/>
        <w:gridCol w:w="977"/>
        <w:gridCol w:w="1837"/>
        <w:gridCol w:w="2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rPr>
        <w:tc>
          <w:tcPr>
            <w:tcW w:w="2129"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起草单位</w:t>
            </w:r>
          </w:p>
        </w:tc>
        <w:tc>
          <w:tcPr>
            <w:tcW w:w="573"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起草人</w:t>
            </w:r>
          </w:p>
        </w:tc>
        <w:tc>
          <w:tcPr>
            <w:tcW w:w="1077"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职称/职务</w:t>
            </w:r>
          </w:p>
        </w:tc>
        <w:tc>
          <w:tcPr>
            <w:tcW w:w="1219"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129"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江苏省人民医院/南京医科大学</w:t>
            </w:r>
          </w:p>
        </w:tc>
        <w:tc>
          <w:tcPr>
            <w:tcW w:w="573"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丁强</w:t>
            </w:r>
          </w:p>
        </w:tc>
        <w:tc>
          <w:tcPr>
            <w:tcW w:w="1077"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教授/书记</w:t>
            </w:r>
          </w:p>
        </w:tc>
        <w:tc>
          <w:tcPr>
            <w:tcW w:w="1219"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顶层设计、组织协调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2129"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南京医科大学</w:t>
            </w:r>
          </w:p>
        </w:tc>
        <w:tc>
          <w:tcPr>
            <w:tcW w:w="573"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刘云</w:t>
            </w:r>
          </w:p>
        </w:tc>
        <w:tc>
          <w:tcPr>
            <w:tcW w:w="1077"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教授/院长</w:t>
            </w:r>
          </w:p>
        </w:tc>
        <w:tc>
          <w:tcPr>
            <w:tcW w:w="1219"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 范围</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 服务流程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2129"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南京医科大学附属苏州医院/南京医科大学</w:t>
            </w:r>
          </w:p>
        </w:tc>
        <w:tc>
          <w:tcPr>
            <w:tcW w:w="573"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陈彦</w:t>
            </w:r>
          </w:p>
        </w:tc>
        <w:tc>
          <w:tcPr>
            <w:tcW w:w="1077"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教授/院长</w:t>
            </w:r>
          </w:p>
        </w:tc>
        <w:tc>
          <w:tcPr>
            <w:tcW w:w="1219"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 服务内容</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 应急管理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129"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南京医科大学</w:t>
            </w:r>
          </w:p>
        </w:tc>
        <w:tc>
          <w:tcPr>
            <w:tcW w:w="573"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钱东福</w:t>
            </w:r>
          </w:p>
        </w:tc>
        <w:tc>
          <w:tcPr>
            <w:tcW w:w="1077"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教授/院长</w:t>
            </w:r>
          </w:p>
        </w:tc>
        <w:tc>
          <w:tcPr>
            <w:tcW w:w="1219"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 术语和定义</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 人员要求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129"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江苏省人民医院</w:t>
            </w:r>
          </w:p>
        </w:tc>
        <w:tc>
          <w:tcPr>
            <w:tcW w:w="573"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潘寅兵</w:t>
            </w:r>
          </w:p>
        </w:tc>
        <w:tc>
          <w:tcPr>
            <w:tcW w:w="1077"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教授</w:t>
            </w:r>
          </w:p>
        </w:tc>
        <w:tc>
          <w:tcPr>
            <w:tcW w:w="1219"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 人员要求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129"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江苏省人民医院</w:t>
            </w:r>
          </w:p>
        </w:tc>
        <w:tc>
          <w:tcPr>
            <w:tcW w:w="573"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张成</w:t>
            </w:r>
          </w:p>
        </w:tc>
        <w:tc>
          <w:tcPr>
            <w:tcW w:w="1077"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助理研究员</w:t>
            </w:r>
          </w:p>
        </w:tc>
        <w:tc>
          <w:tcPr>
            <w:tcW w:w="1219"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 服务流程</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 服务内容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2129"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南京医科大学</w:t>
            </w:r>
          </w:p>
        </w:tc>
        <w:tc>
          <w:tcPr>
            <w:tcW w:w="573"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王可欣</w:t>
            </w:r>
          </w:p>
        </w:tc>
        <w:tc>
          <w:tcPr>
            <w:tcW w:w="1077"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w:t>
            </w:r>
          </w:p>
        </w:tc>
        <w:tc>
          <w:tcPr>
            <w:tcW w:w="1219"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 服务流程</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 服务内容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129"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南京医科大学</w:t>
            </w:r>
          </w:p>
        </w:tc>
        <w:tc>
          <w:tcPr>
            <w:tcW w:w="573"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谢欣照</w:t>
            </w:r>
          </w:p>
        </w:tc>
        <w:tc>
          <w:tcPr>
            <w:tcW w:w="1077"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w:t>
            </w:r>
          </w:p>
        </w:tc>
        <w:tc>
          <w:tcPr>
            <w:tcW w:w="1219"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 应急管理</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8 服务评价与改进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129"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江苏省人民医院</w:t>
            </w:r>
          </w:p>
        </w:tc>
        <w:tc>
          <w:tcPr>
            <w:tcW w:w="573"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李春雨</w:t>
            </w:r>
          </w:p>
        </w:tc>
        <w:tc>
          <w:tcPr>
            <w:tcW w:w="1077"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主治医师</w:t>
            </w:r>
          </w:p>
        </w:tc>
        <w:tc>
          <w:tcPr>
            <w:tcW w:w="1219"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征求意见汇总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129"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南京医科大学</w:t>
            </w:r>
          </w:p>
        </w:tc>
        <w:tc>
          <w:tcPr>
            <w:tcW w:w="573"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王婷</w:t>
            </w:r>
          </w:p>
        </w:tc>
        <w:tc>
          <w:tcPr>
            <w:tcW w:w="1077"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卫生管理中级、主管药师</w:t>
            </w:r>
          </w:p>
        </w:tc>
        <w:tc>
          <w:tcPr>
            <w:tcW w:w="1219"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咨询指导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2129"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南京大学医学院附属鼓楼医院</w:t>
            </w:r>
          </w:p>
        </w:tc>
        <w:tc>
          <w:tcPr>
            <w:tcW w:w="573"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潘涛</w:t>
            </w:r>
          </w:p>
        </w:tc>
        <w:tc>
          <w:tcPr>
            <w:tcW w:w="1077"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主任医师</w:t>
            </w:r>
          </w:p>
        </w:tc>
        <w:tc>
          <w:tcPr>
            <w:tcW w:w="1219"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 术语和定义</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 人员要求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129"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江苏省中医医院</w:t>
            </w:r>
          </w:p>
        </w:tc>
        <w:tc>
          <w:tcPr>
            <w:tcW w:w="573"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吕东岭</w:t>
            </w:r>
          </w:p>
        </w:tc>
        <w:tc>
          <w:tcPr>
            <w:tcW w:w="1077"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副教授/副院长</w:t>
            </w:r>
          </w:p>
        </w:tc>
        <w:tc>
          <w:tcPr>
            <w:tcW w:w="1219"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 人员要求</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 服务流程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129"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江苏亚寰软件股份有限公司</w:t>
            </w:r>
          </w:p>
        </w:tc>
        <w:tc>
          <w:tcPr>
            <w:tcW w:w="573"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陈亚</w:t>
            </w:r>
          </w:p>
        </w:tc>
        <w:tc>
          <w:tcPr>
            <w:tcW w:w="1077"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总经理</w:t>
            </w:r>
          </w:p>
        </w:tc>
        <w:tc>
          <w:tcPr>
            <w:tcW w:w="1219"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咨询指导</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征求意见汇总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129"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南京医科大学</w:t>
            </w:r>
          </w:p>
        </w:tc>
        <w:tc>
          <w:tcPr>
            <w:tcW w:w="573"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吴子怡</w:t>
            </w:r>
          </w:p>
        </w:tc>
        <w:tc>
          <w:tcPr>
            <w:tcW w:w="1077"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w:t>
            </w:r>
          </w:p>
        </w:tc>
        <w:tc>
          <w:tcPr>
            <w:tcW w:w="1219"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 应急管理</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8 服务评价与改进</w:t>
            </w:r>
          </w:p>
        </w:tc>
      </w:tr>
    </w:tbl>
    <w:p>
      <w:pPr>
        <w:spacing w:line="580" w:lineRule="exact"/>
        <w:ind w:firstLine="480" w:firstLineChars="200"/>
        <w:rPr>
          <w:rFonts w:hint="eastAsia" w:ascii="宋体" w:hAnsi="宋体" w:eastAsia="宋体" w:cs="宋体"/>
          <w:sz w:val="24"/>
          <w:szCs w:val="24"/>
          <w:u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eastAsia="宋体" w:cs="宋体"/>
          <w:sz w:val="24"/>
          <w:szCs w:val="24"/>
          <w:lang w:val="en-US" w:eastAsia="zh-CN"/>
        </w:rPr>
      </w:pP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kyOWFiNmI3OTI4YjJiMGVjNTY3ZDFmNzdkZTlkNTQifQ=="/>
  </w:docVars>
  <w:rsids>
    <w:rsidRoot w:val="1E804518"/>
    <w:rsid w:val="000E27F3"/>
    <w:rsid w:val="000E3A1B"/>
    <w:rsid w:val="00226D5A"/>
    <w:rsid w:val="00232A60"/>
    <w:rsid w:val="003F1760"/>
    <w:rsid w:val="004D6657"/>
    <w:rsid w:val="005823E6"/>
    <w:rsid w:val="006F2FCC"/>
    <w:rsid w:val="007956A8"/>
    <w:rsid w:val="00987571"/>
    <w:rsid w:val="009A1BA5"/>
    <w:rsid w:val="00BC404C"/>
    <w:rsid w:val="00C140BD"/>
    <w:rsid w:val="00CF4CDE"/>
    <w:rsid w:val="00F041E5"/>
    <w:rsid w:val="0169794A"/>
    <w:rsid w:val="032B54A6"/>
    <w:rsid w:val="098D086D"/>
    <w:rsid w:val="0B792C38"/>
    <w:rsid w:val="0B7944FA"/>
    <w:rsid w:val="0D787C80"/>
    <w:rsid w:val="0DE03941"/>
    <w:rsid w:val="0F9F0794"/>
    <w:rsid w:val="116026E1"/>
    <w:rsid w:val="11BC42FE"/>
    <w:rsid w:val="13D84274"/>
    <w:rsid w:val="142F5B3E"/>
    <w:rsid w:val="1488047C"/>
    <w:rsid w:val="156009C5"/>
    <w:rsid w:val="1DEF6D8A"/>
    <w:rsid w:val="1E804518"/>
    <w:rsid w:val="21894E00"/>
    <w:rsid w:val="22285FC2"/>
    <w:rsid w:val="24954AC1"/>
    <w:rsid w:val="254C6870"/>
    <w:rsid w:val="2BD779D3"/>
    <w:rsid w:val="2C365B84"/>
    <w:rsid w:val="2D430559"/>
    <w:rsid w:val="2DAF5BEE"/>
    <w:rsid w:val="303E0AB7"/>
    <w:rsid w:val="31576CC8"/>
    <w:rsid w:val="33AD7074"/>
    <w:rsid w:val="345B262C"/>
    <w:rsid w:val="35C666FF"/>
    <w:rsid w:val="37BA2779"/>
    <w:rsid w:val="39CE38A0"/>
    <w:rsid w:val="39DA0497"/>
    <w:rsid w:val="39EF0E78"/>
    <w:rsid w:val="3A347BA7"/>
    <w:rsid w:val="3D32044E"/>
    <w:rsid w:val="3F8630B0"/>
    <w:rsid w:val="3FBB48C6"/>
    <w:rsid w:val="3FE23C01"/>
    <w:rsid w:val="41A53138"/>
    <w:rsid w:val="41F1637D"/>
    <w:rsid w:val="44AA4DFF"/>
    <w:rsid w:val="44FF34A7"/>
    <w:rsid w:val="45521920"/>
    <w:rsid w:val="458D77E5"/>
    <w:rsid w:val="46015CE4"/>
    <w:rsid w:val="4670640B"/>
    <w:rsid w:val="4D1A446A"/>
    <w:rsid w:val="4FBA63E3"/>
    <w:rsid w:val="50036E81"/>
    <w:rsid w:val="51113F85"/>
    <w:rsid w:val="51C8534D"/>
    <w:rsid w:val="51E34E99"/>
    <w:rsid w:val="52DB10B0"/>
    <w:rsid w:val="541008E5"/>
    <w:rsid w:val="548E53FB"/>
    <w:rsid w:val="562B7C58"/>
    <w:rsid w:val="56384123"/>
    <w:rsid w:val="567864F4"/>
    <w:rsid w:val="57CF6D09"/>
    <w:rsid w:val="59965D30"/>
    <w:rsid w:val="60FA6BA5"/>
    <w:rsid w:val="620152D8"/>
    <w:rsid w:val="624D40D3"/>
    <w:rsid w:val="63471E49"/>
    <w:rsid w:val="63E67FD8"/>
    <w:rsid w:val="65C634F9"/>
    <w:rsid w:val="66EA42D2"/>
    <w:rsid w:val="67584625"/>
    <w:rsid w:val="690027D1"/>
    <w:rsid w:val="6A050368"/>
    <w:rsid w:val="6FE262EA"/>
    <w:rsid w:val="70D33B66"/>
    <w:rsid w:val="70D94A29"/>
    <w:rsid w:val="714C3B95"/>
    <w:rsid w:val="74810CBB"/>
    <w:rsid w:val="78B74F24"/>
    <w:rsid w:val="79334EF2"/>
    <w:rsid w:val="7ABB480C"/>
    <w:rsid w:val="7BF81ADB"/>
    <w:rsid w:val="7DBB2EE5"/>
    <w:rsid w:val="7E362F65"/>
    <w:rsid w:val="7F9112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4"/>
      <w:szCs w:val="3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autoRedefine/>
    <w:qFormat/>
    <w:uiPriority w:val="0"/>
    <w:pPr>
      <w:jc w:val="left"/>
    </w:pPr>
  </w:style>
  <w:style w:type="paragraph" w:styleId="3">
    <w:name w:val="index 4"/>
    <w:basedOn w:val="1"/>
    <w:next w:val="1"/>
    <w:qFormat/>
    <w:uiPriority w:val="0"/>
    <w:pPr>
      <w:ind w:left="600" w:leftChars="600"/>
    </w:p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rPr>
  </w:style>
  <w:style w:type="character" w:styleId="9">
    <w:name w:val="Strong"/>
    <w:basedOn w:val="8"/>
    <w:autoRedefine/>
    <w:qFormat/>
    <w:uiPriority w:val="0"/>
    <w:rPr>
      <w:b/>
    </w:rPr>
  </w:style>
  <w:style w:type="character" w:styleId="10">
    <w:name w:val="annotation reference"/>
    <w:basedOn w:val="8"/>
    <w:autoRedefine/>
    <w:qFormat/>
    <w:uiPriority w:val="0"/>
    <w:rPr>
      <w:sz w:val="21"/>
      <w:szCs w:val="21"/>
    </w:rPr>
  </w:style>
  <w:style w:type="character" w:customStyle="1" w:styleId="11">
    <w:name w:val="页眉 字符"/>
    <w:basedOn w:val="8"/>
    <w:link w:val="5"/>
    <w:autoRedefine/>
    <w:qFormat/>
    <w:uiPriority w:val="0"/>
    <w:rPr>
      <w:rFonts w:asciiTheme="minorHAnsi" w:hAnsiTheme="minorHAnsi" w:eastAsiaTheme="minorEastAsia" w:cstheme="minorBidi"/>
      <w:kern w:val="2"/>
      <w:sz w:val="18"/>
      <w:szCs w:val="18"/>
    </w:rPr>
  </w:style>
  <w:style w:type="character" w:customStyle="1" w:styleId="12">
    <w:name w:val="页脚 字符"/>
    <w:basedOn w:val="8"/>
    <w:link w:val="4"/>
    <w:autoRedefine/>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2440</Words>
  <Characters>2517</Characters>
  <Lines>4</Lines>
  <Paragraphs>1</Paragraphs>
  <TotalTime>1</TotalTime>
  <ScaleCrop>false</ScaleCrop>
  <LinksUpToDate>false</LinksUpToDate>
  <CharactersWithSpaces>2538</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2023-02-17T15:18:00Z</dcterms:created>
  <dc:creator>凸^-^凸</dc:creator>
  <cp:lastModifiedBy>xie</cp:lastModifiedBy>
  <dcterms:modified xsi:type="dcterms:W3CDTF">2024-07-03T14:15:21Z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7C034497F97F49B6AF7F61B81321E5A5</vt:lpwstr>
  </property>
</Properties>
</file>